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центрапринимает участие в ликвидации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принимаетучастие в ликвидации последствий ЧС, связанной с разливомнефтепродуктов в 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январяаэромобильная группировка центра в составе 100 человек и 22 едиництехники выдвинулась из пункта постоянной дислокации в Краснодарскийкрай для в ликвидации последствий ЧС, связанной с разливомнефтепродуктов 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10 тысяч 950 мешков загрязнённого грунта и загружено 17тысяч 911 мешков загрязненного грунта. Пройдено 6 тысяч 500 метровбереговой линии.</w:t>
            </w:r>
            <w:br/>
            <w:br/>
            <w:br/>
            <w:br/>
            <w:r>
              <w:rPr/>
              <w:t xml:space="preserve">Уложено 176 шт. дорожных плит для оборудования установки попросеиванию песочных масс.</w:t>
            </w:r>
            <w:br/>
            <w:br/>
            <w:r>
              <w:rPr/>
              <w:t xml:space="preserve">Вывезено 150 тонн загрязненного песка и грунта грузоподъёмнымимашинами.</w:t>
            </w:r>
            <w:br/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2026-07-03T09:32:38+03:00</dcterms:created>
  <dcterms:modified xsi:type="dcterms:W3CDTF">2026-07-03T09:32:38+03:00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